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25BF1" w14:textId="77777777" w:rsidR="00CE3400" w:rsidRDefault="00CE3400" w:rsidP="00CE3400">
      <w:pPr>
        <w:jc w:val="center"/>
        <w:rPr>
          <w:sz w:val="24"/>
          <w:szCs w:val="22"/>
          <w:rFonts w:ascii="Times New Roman" w:hAnsi="Times New Roman"/>
        </w:rPr>
      </w:pPr>
      <w:bookmarkStart w:id="0" w:name="_Toc262568021"/>
      <w:bookmarkStart w:id="1" w:name="_Toc295829847"/>
      <w:r>
        <w:rPr>
          <w:sz w:val="24"/>
          <w:rFonts w:ascii="Times New Roman" w:hAnsi="Times New Roman"/>
        </w:rPr>
        <w:t xml:space="preserve">PT</w:t>
      </w:r>
    </w:p>
    <w:p w14:paraId="64EE1F0A" w14:textId="77777777" w:rsidR="00CE3400" w:rsidRDefault="00CE3400" w:rsidP="00CE3400">
      <w:pPr>
        <w:rPr>
          <w:rFonts w:asciiTheme="minorHAnsi" w:hAnsiTheme="minorHAnsi"/>
          <w:sz w:val="22"/>
        </w:rPr>
      </w:pPr>
    </w:p>
    <w:p w14:paraId="3DE5B4C3" w14:textId="77777777" w:rsidR="00B376B6" w:rsidRPr="00037E7B" w:rsidRDefault="00B376B6" w:rsidP="00B376B6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ANEXO II</w:t>
      </w:r>
    </w:p>
    <w:p w14:paraId="30547FF9" w14:textId="77777777" w:rsidR="00B376B6" w:rsidRPr="00037E7B" w:rsidRDefault="00B376B6" w:rsidP="00B376B6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«ANEXO II</w:t>
      </w:r>
    </w:p>
    <w:p w14:paraId="34BE32D9" w14:textId="77777777" w:rsidR="00B376B6" w:rsidRPr="00037E7B" w:rsidRDefault="00B376B6" w:rsidP="00B376B6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INSTRUÇÕES SOBRE O REPORTE DOS FUNDOS PRÓPRIOS E DOS REQUISITOS DE FUNDOS PRÓPRIOS</w:t>
      </w:r>
    </w:p>
    <w:p w14:paraId="7FB17BEE" w14:textId="77777777" w:rsidR="00B376B6" w:rsidRDefault="00B376B6" w:rsidP="00B376B6"/>
    <w:p w14:paraId="56EC5624" w14:textId="77777777" w:rsidR="00B376B6" w:rsidRDefault="00B376B6" w:rsidP="00B376B6">
      <w:pPr>
        <w:spacing w:before="0" w:after="0"/>
        <w:jc w:val="left"/>
        <w:rPr>
          <w:rStyle w:val="InstructionsTabelleText"/>
          <w:b/>
          <w:bCs/>
          <w:sz w:val="24"/>
          <w:u w:val="single"/>
          <w:rFonts w:ascii="Times New Roman" w:hAnsi="Times New Roman"/>
        </w:rPr>
      </w:pP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PARTE II: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 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INSTRUÇÕES RESPEITANTES AOS MODELOS</w:t>
      </w:r>
    </w:p>
    <w:p w14:paraId="43B18682" w14:textId="77777777" w:rsidR="00B376B6" w:rsidRDefault="00B376B6" w:rsidP="00B376B6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 </w:t>
      </w:r>
    </w:p>
    <w:p w14:paraId="0C82047E" w14:textId="77777777" w:rsidR="00B376B6" w:rsidRPr="00736637" w:rsidRDefault="00B376B6" w:rsidP="00B376B6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(…)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4DD28C8A" w14:textId="77777777" w:rsidR="00B376B6" w:rsidRDefault="00B376B6" w:rsidP="00A33695">
      <w:pPr>
        <w:jc w:val="center"/>
        <w:rPr>
          <w:rFonts w:ascii="Times New Roman" w:hAnsi="Times New Roman"/>
          <w:sz w:val="24"/>
        </w:rPr>
      </w:pPr>
    </w:p>
    <w:bookmarkEnd w:id="0"/>
    <w:bookmarkEnd w:id="1"/>
    <w:p w14:paraId="7AD62EA3" w14:textId="77777777" w:rsidR="005F103E" w:rsidRPr="00130AF7" w:rsidRDefault="005F103E" w:rsidP="005F103E">
      <w:pPr>
        <w:jc w:val="left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10.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u w:val="single"/>
          <w:rFonts w:ascii="Times New Roman" w:hAnsi="Times New Roman"/>
        </w:rPr>
        <w:t xml:space="preserve">C 36.00 POSIÇÕES EM RISCO SOBRE CRIPTOATIVOS</w:t>
      </w:r>
    </w:p>
    <w:p w14:paraId="05C81E67" w14:textId="77777777" w:rsidR="005F103E" w:rsidRPr="00375B75" w:rsidRDefault="005F103E" w:rsidP="005F103E">
      <w:pPr>
        <w:pStyle w:val="Instructionsberschrift2"/>
        <w:numPr>
          <w:ilvl w:val="0"/>
          <w:numId w:val="0"/>
        </w:numPr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10.1. Comentários gerais</w:t>
      </w:r>
    </w:p>
    <w:p w14:paraId="6942FA35" w14:textId="77777777" w:rsidR="005F103E" w:rsidRDefault="005F103E" w:rsidP="00CF4FBC">
      <w:pPr>
        <w:pStyle w:val="InstructionsText2"/>
      </w:pPr>
      <w:r>
        <w:t xml:space="preserve">Este modelo deve ser utilizado para fornecer informações sobre as posições em risco sobre criptoativos, tal como exigido pelo artigo 501.º-D, n.º</w:t>
      </w:r>
      <w:r>
        <w:rPr>
          <w:vertAlign w:val="superscript"/>
        </w:rPr>
        <w:t xml:space="preserve">s</w:t>
      </w:r>
      <w:r>
        <w:t xml:space="preserve"> 2 e 3, do Regulamento (UE) n.º 575/2013.</w:t>
      </w:r>
    </w:p>
    <w:p w14:paraId="4985A436" w14:textId="77777777" w:rsidR="005F103E" w:rsidRDefault="005F103E" w:rsidP="005F103E">
      <w:pPr>
        <w:pStyle w:val="InstructionsText2"/>
      </w:pPr>
      <w:r>
        <w:t xml:space="preserve">As posições em risco sobre criptoativos só devem ser reportadas neste modelo.</w:t>
      </w:r>
    </w:p>
    <w:p w14:paraId="26F9871B" w14:textId="4FCA9AB4" w:rsidR="005F103E" w:rsidRPr="00375B75" w:rsidRDefault="005F103E" w:rsidP="00036C7E">
      <w:pPr>
        <w:pStyle w:val="InstructionsText2"/>
        <w:numPr>
          <w:ilvl w:val="0"/>
          <w:numId w:val="0"/>
        </w:numPr>
      </w:pPr>
      <w:r>
        <w:t xml:space="preserve">10.2. Instruções relativas a posições específicas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4D4E2358" w14:textId="77777777" w:rsidTr="00A258A5">
        <w:tc>
          <w:tcPr>
            <w:tcW w:w="1555" w:type="dxa"/>
            <w:shd w:val="clear" w:color="auto" w:fill="CCCCCC"/>
          </w:tcPr>
          <w:p w14:paraId="4DC0E854" w14:textId="77777777" w:rsidR="005F103E" w:rsidRPr="00130AF7" w:rsidRDefault="005F103E" w:rsidP="005F103E">
            <w:pPr>
              <w:pStyle w:val="InstructionsText"/>
            </w:pPr>
            <w:r>
              <w:t xml:space="preserve">Coluna</w:t>
            </w:r>
          </w:p>
        </w:tc>
        <w:tc>
          <w:tcPr>
            <w:tcW w:w="8363" w:type="dxa"/>
            <w:shd w:val="clear" w:color="auto" w:fill="CCCCCC"/>
          </w:tcPr>
          <w:p w14:paraId="7C9DD054" w14:textId="77777777" w:rsidR="005F103E" w:rsidRPr="00130AF7" w:rsidRDefault="005F103E" w:rsidP="005F103E">
            <w:pPr>
              <w:pStyle w:val="InstructionsText"/>
            </w:pPr>
            <w:r>
              <w:t xml:space="preserve">Referências jurídicas e instruções</w:t>
            </w:r>
          </w:p>
        </w:tc>
      </w:tr>
      <w:tr w:rsidR="005F103E" w:rsidRPr="0076606B" w14:paraId="7E08B7B7" w14:textId="77777777" w:rsidTr="00A258A5">
        <w:tc>
          <w:tcPr>
            <w:tcW w:w="1555" w:type="dxa"/>
          </w:tcPr>
          <w:p w14:paraId="49AED87C" w14:textId="77777777" w:rsidR="005F103E" w:rsidRPr="0076606B" w:rsidRDefault="005F103E" w:rsidP="005F103E">
            <w:pPr>
              <w:pStyle w:val="InstructionsText"/>
            </w:pPr>
            <w:r>
              <w:t xml:space="preserve">0010</w:t>
            </w:r>
          </w:p>
        </w:tc>
        <w:tc>
          <w:tcPr>
            <w:tcW w:w="8363" w:type="dxa"/>
          </w:tcPr>
          <w:p w14:paraId="53B3EE01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Valor das posições em risco</w:t>
            </w:r>
          </w:p>
          <w:p w14:paraId="38BE77DA" w14:textId="77777777" w:rsidR="005F103E" w:rsidRPr="00111160" w:rsidRDefault="005F103E" w:rsidP="005F103E">
            <w:pPr>
              <w:pStyle w:val="InstructionsText"/>
            </w:pPr>
            <w:r>
              <w:t xml:space="preserve">Valor das posições em risco sobre criptoativos para os diferentes tipos de criptoativos a que se refere o </w:t>
            </w:r>
            <w:r>
              <w:rPr>
                <w:rStyle w:val="InstructionsTabelleberschrift"/>
                <w:b w:val="0"/>
              </w:rPr>
              <w:t xml:space="preserve">artigo 501.º-D, n.º 2, do </w:t>
            </w:r>
            <w:r>
              <w:t xml:space="preserve">Regulamento (UE) n.º 575/2013.</w:t>
            </w:r>
          </w:p>
        </w:tc>
      </w:tr>
      <w:tr w:rsidR="005F103E" w:rsidRPr="0076606B" w14:paraId="668FA6EC" w14:textId="77777777" w:rsidTr="00A258A5">
        <w:tc>
          <w:tcPr>
            <w:tcW w:w="1555" w:type="dxa"/>
          </w:tcPr>
          <w:p w14:paraId="2F7CD94C" w14:textId="77777777" w:rsidR="005F103E" w:rsidRPr="0076606B" w:rsidRDefault="005F103E" w:rsidP="005F103E">
            <w:pPr>
              <w:pStyle w:val="InstructionsText"/>
            </w:pPr>
            <w:r>
              <w:t xml:space="preserve">0020</w:t>
            </w:r>
          </w:p>
        </w:tc>
        <w:tc>
          <w:tcPr>
            <w:tcW w:w="8363" w:type="dxa"/>
          </w:tcPr>
          <w:p w14:paraId="63A90F26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Montantes das posições ponderadas pelo risco (RWEA)</w:t>
            </w:r>
          </w:p>
          <w:p w14:paraId="67B71D23" w14:textId="77777777" w:rsidR="005F103E" w:rsidRPr="00111160" w:rsidRDefault="005F103E" w:rsidP="005F103E">
            <w:pPr>
              <w:pStyle w:val="InstructionsText"/>
              <w:rPr>
                <w:b/>
              </w:rPr>
            </w:pPr>
            <w:r>
              <w:rPr>
                <w:b/>
              </w:rPr>
              <w:t xml:space="preserve">Artigo 501.º-D, n.º 2, do Regulamento (UE) n.º 575/2013.</w:t>
            </w:r>
            <w:r>
              <w:rPr>
                <w:b/>
              </w:rPr>
              <w:t xml:space="preserve"> </w:t>
            </w:r>
          </w:p>
          <w:p w14:paraId="76E5BCF9" w14:textId="77777777" w:rsidR="005F103E" w:rsidRPr="0076606B" w:rsidRDefault="005F103E" w:rsidP="005F103E">
            <w:pPr>
              <w:pStyle w:val="InstructionsText"/>
            </w:pPr>
            <w:r>
              <w:t xml:space="preserve">Os montantes das posições ponderadas pelo risco para os diferentes tipos de posições em risco sobre criptoativos calculados em conformidade com o artigo 501.º-D, n.º 2, do Regulamento (UE) n.º 575/2013.</w:t>
            </w:r>
          </w:p>
        </w:tc>
      </w:tr>
    </w:tbl>
    <w:p w14:paraId="30039F5A" w14:textId="77777777" w:rsidR="005F103E" w:rsidRPr="0076606B" w:rsidRDefault="005F103E" w:rsidP="005F103E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714E7538" w14:textId="77777777" w:rsidTr="00A258A5">
        <w:tc>
          <w:tcPr>
            <w:tcW w:w="1555" w:type="dxa"/>
            <w:shd w:val="clear" w:color="auto" w:fill="CCCCCC"/>
          </w:tcPr>
          <w:p w14:paraId="1604FD97" w14:textId="77777777" w:rsidR="005F103E" w:rsidRPr="00130AF7" w:rsidRDefault="005F103E" w:rsidP="005F103E">
            <w:pPr>
              <w:pStyle w:val="InstructionsText"/>
            </w:pPr>
            <w:r>
              <w:t xml:space="preserve">Linha</w:t>
            </w:r>
          </w:p>
        </w:tc>
        <w:tc>
          <w:tcPr>
            <w:tcW w:w="8363" w:type="dxa"/>
            <w:shd w:val="clear" w:color="auto" w:fill="CCCCCC"/>
          </w:tcPr>
          <w:p w14:paraId="58813EAE" w14:textId="77777777" w:rsidR="005F103E" w:rsidRPr="00130AF7" w:rsidRDefault="005F103E" w:rsidP="005F103E">
            <w:pPr>
              <w:pStyle w:val="InstructionsText"/>
            </w:pPr>
            <w:r>
              <w:t xml:space="preserve">Referências jurídicas e instruções</w:t>
            </w:r>
          </w:p>
        </w:tc>
      </w:tr>
      <w:tr w:rsidR="005F103E" w:rsidRPr="0076606B" w14:paraId="004946E8" w14:textId="77777777" w:rsidTr="00A258A5">
        <w:tc>
          <w:tcPr>
            <w:tcW w:w="1555" w:type="dxa"/>
          </w:tcPr>
          <w:p w14:paraId="69F3E7A4" w14:textId="77777777" w:rsidR="005F103E" w:rsidRDefault="005F103E" w:rsidP="005F103E">
            <w:pPr>
              <w:pStyle w:val="InstructionsText"/>
            </w:pPr>
            <w:r>
              <w:t xml:space="preserve">0010</w:t>
            </w:r>
          </w:p>
        </w:tc>
        <w:tc>
          <w:tcPr>
            <w:tcW w:w="8363" w:type="dxa"/>
          </w:tcPr>
          <w:p w14:paraId="4D0A79FC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Total das posições em risco</w:t>
            </w:r>
          </w:p>
          <w:p w14:paraId="25F6989B" w14:textId="77777777" w:rsidR="005F103E" w:rsidRPr="005F103E" w:rsidRDefault="005F103E" w:rsidP="005F103E">
            <w:pPr>
              <w:pStyle w:val="InstructionsText"/>
              <w:rPr>
                <w:rStyle w:val="cf01"/>
                <w:b/>
                <w:bCs w:val="0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Valores totais calculados como a soma das linhas 0020, 0030 e 0040.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O valor da coluna 0020 deve ser igual aos montantes totais das posições em risco </w:t>
            </w:r>
            <w:r>
              <w:rPr>
                <w:rStyle w:val="InstructionsTabelleberschrift"/>
                <w:b w:val="0"/>
                <w:sz w:val="24"/>
                <w:u w:val="none"/>
                <w:u w:val="none"/>
                <w:rFonts w:ascii="Times New Roman" w:hAnsi="Times New Roman"/>
              </w:rPr>
              <w:t xml:space="preserve">reportados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na linha 0780 do modelo C 02.00 (Requisitos de fundos próprios).</w:t>
            </w:r>
          </w:p>
        </w:tc>
      </w:tr>
      <w:tr w:rsidR="005F103E" w:rsidRPr="0076606B" w14:paraId="33BB0F18" w14:textId="77777777" w:rsidTr="00A258A5">
        <w:tc>
          <w:tcPr>
            <w:tcW w:w="1555" w:type="dxa"/>
          </w:tcPr>
          <w:p w14:paraId="1631E888" w14:textId="77777777" w:rsidR="005F103E" w:rsidRPr="0076606B" w:rsidRDefault="005F103E" w:rsidP="005F103E">
            <w:pPr>
              <w:pStyle w:val="InstructionsText"/>
            </w:pPr>
            <w:r>
              <w:t xml:space="preserve">0020</w:t>
            </w:r>
          </w:p>
        </w:tc>
        <w:tc>
          <w:tcPr>
            <w:tcW w:w="8363" w:type="dxa"/>
          </w:tcPr>
          <w:p w14:paraId="13B2705E" w14:textId="77777777" w:rsidR="005F103E" w:rsidRPr="005F103E" w:rsidRDefault="005F103E" w:rsidP="005F103E">
            <w:pPr>
              <w:pStyle w:val="InstructionsText"/>
              <w:rPr>
                <w:rStyle w:val="cf01"/>
                <w:b/>
                <w:bCs w:val="0"/>
                <w:sz w:val="24"/>
                <w:szCs w:val="24"/>
                <w:u w:val="single"/>
                <w:rFonts w:ascii="Times New Roman" w:hAnsi="Times New Roman" w:cs="Times New Roman"/>
              </w:rPr>
            </w:pPr>
            <w:r>
              <w:rPr>
                <w:rStyle w:val="cf01"/>
                <w:b/>
                <w:sz w:val="24"/>
                <w:u w:val="single"/>
                <w:rFonts w:ascii="Times New Roman" w:hAnsi="Times New Roman"/>
              </w:rPr>
              <w:t xml:space="preserve">Posições em risco sobre ativos tradicionais sob a forma de criptofichas</w:t>
            </w:r>
            <w:r>
              <w:rPr>
                <w:rStyle w:val="cf01"/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3F8D8884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b w:val="0"/>
                <w:sz w:val="24"/>
                <w:rFonts w:ascii="Times New Roman" w:hAnsi="Times New Roman"/>
              </w:rPr>
              <w:t xml:space="preserve">Artigo 501.º-D, n.º 2, alínea a), </w:t>
            </w:r>
            <w:r>
              <w:t xml:space="preserve">do Regulamento (UE) n.º 575/2013.</w:t>
            </w:r>
          </w:p>
        </w:tc>
      </w:tr>
      <w:tr w:rsidR="005F103E" w:rsidRPr="0076606B" w14:paraId="799E93D5" w14:textId="77777777" w:rsidTr="00A258A5">
        <w:tc>
          <w:tcPr>
            <w:tcW w:w="1555" w:type="dxa"/>
          </w:tcPr>
          <w:p w14:paraId="2A3EE14A" w14:textId="77777777" w:rsidR="005F103E" w:rsidRPr="0076606B" w:rsidRDefault="005F103E" w:rsidP="005F103E">
            <w:pPr>
              <w:pStyle w:val="InstructionsText"/>
            </w:pPr>
            <w:r>
              <w:t xml:space="preserve">0030</w:t>
            </w:r>
          </w:p>
        </w:tc>
        <w:tc>
          <w:tcPr>
            <w:tcW w:w="8363" w:type="dxa"/>
          </w:tcPr>
          <w:p w14:paraId="495597FE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Posições em risco sobre criptofichas referenciadas a ativos</w:t>
            </w:r>
          </w:p>
          <w:p w14:paraId="73B4C961" w14:textId="77777777" w:rsidR="005F103E" w:rsidRPr="0076606B" w:rsidRDefault="005F103E" w:rsidP="005F103E">
            <w:pPr>
              <w:pStyle w:val="InstructionsText"/>
              <w:rPr>
                <w:rStyle w:val="InstructionsTabelleberschrift"/>
              </w:rPr>
            </w:pPr>
            <w:r>
              <w:t xml:space="preserve">Artigo 501.º-D, n.º 2, alínea b), do Regulamento (UE) n.º 575/2013.</w:t>
            </w:r>
          </w:p>
        </w:tc>
      </w:tr>
      <w:tr w:rsidR="005F103E" w:rsidRPr="0076606B" w14:paraId="4E3EC874" w14:textId="77777777" w:rsidTr="00A258A5">
        <w:tc>
          <w:tcPr>
            <w:tcW w:w="1555" w:type="dxa"/>
          </w:tcPr>
          <w:p w14:paraId="539A4D7C" w14:textId="77777777" w:rsidR="005F103E" w:rsidRPr="0076606B" w:rsidRDefault="005F103E" w:rsidP="005F103E">
            <w:pPr>
              <w:pStyle w:val="InstructionsText"/>
            </w:pPr>
            <w:r>
              <w:t xml:space="preserve">0040</w:t>
            </w:r>
          </w:p>
        </w:tc>
        <w:tc>
          <w:tcPr>
            <w:tcW w:w="8363" w:type="dxa"/>
          </w:tcPr>
          <w:p w14:paraId="619B78AB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Posições em risco sobre outros criptoativos</w:t>
            </w:r>
          </w:p>
          <w:p w14:paraId="2471242B" w14:textId="77777777" w:rsidR="005F103E" w:rsidRPr="00111160" w:rsidRDefault="005F103E" w:rsidP="005F103E">
            <w:pPr>
              <w:pStyle w:val="InstructionsText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rFonts w:ascii="Times New Roman" w:hAnsi="Times New Roman"/>
              </w:rPr>
              <w:t xml:space="preserve">Artigo 501.º-D, n.º 2, alínea c), </w:t>
            </w:r>
            <w:r>
              <w:t xml:space="preserve">do Regulamento (UE) n.º 575/2013.</w:t>
            </w:r>
          </w:p>
          <w:p w14:paraId="23855C9D" w14:textId="77777777" w:rsidR="005F103E" w:rsidRPr="00111160" w:rsidRDefault="005F103E" w:rsidP="005F103E">
            <w:pPr>
              <w:pStyle w:val="InstructionsText"/>
            </w:pPr>
            <w:r>
              <w:t xml:space="preserve">Outras posições em risco sobre criptoativos que sejam diferentes das alíneas a) e b) do </w:t>
            </w:r>
            <w:r>
              <w:t xml:space="preserve">artigo 501.º-D, n.º 2, do Regulamento (UE) n.º 575/2013</w:t>
            </w:r>
            <w:r>
              <w:rPr>
                <w:rStyle w:val="InstructionsTabelleberschrift"/>
              </w:rPr>
              <w:t xml:space="preserve">.</w:t>
            </w:r>
          </w:p>
        </w:tc>
      </w:tr>
      <w:tr w:rsidR="005F103E" w:rsidRPr="00130AF7" w14:paraId="077FC004" w14:textId="77777777" w:rsidTr="00A258A5">
        <w:tc>
          <w:tcPr>
            <w:tcW w:w="1555" w:type="dxa"/>
            <w:shd w:val="clear" w:color="auto" w:fill="D9D9D9" w:themeFill="background1" w:themeFillShade="D9"/>
          </w:tcPr>
          <w:p w14:paraId="599CE6AD" w14:textId="77777777" w:rsidR="005F103E" w:rsidRPr="00130AF7" w:rsidRDefault="005F103E" w:rsidP="005F103E">
            <w:pPr>
              <w:pStyle w:val="InstructionsText"/>
            </w:pPr>
            <w:r>
              <w:t xml:space="preserve">Linha</w:t>
            </w:r>
          </w:p>
        </w:tc>
        <w:tc>
          <w:tcPr>
            <w:tcW w:w="8363" w:type="dxa"/>
            <w:shd w:val="clear" w:color="auto" w:fill="D9D9D9" w:themeFill="background1" w:themeFillShade="D9"/>
          </w:tcPr>
          <w:p w14:paraId="734A6132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Rubrica para memória: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</w:tc>
      </w:tr>
      <w:tr w:rsidR="005F103E" w:rsidRPr="0076606B" w14:paraId="2CFF9186" w14:textId="77777777" w:rsidTr="00A258A5">
        <w:tc>
          <w:tcPr>
            <w:tcW w:w="1555" w:type="dxa"/>
          </w:tcPr>
          <w:p w14:paraId="4AF60EE0" w14:textId="77777777" w:rsidR="005F103E" w:rsidRDefault="005F103E" w:rsidP="005F103E">
            <w:pPr>
              <w:pStyle w:val="InstructionsText"/>
            </w:pPr>
            <w:r>
              <w:t xml:space="preserve">0050</w:t>
            </w:r>
          </w:p>
        </w:tc>
        <w:tc>
          <w:tcPr>
            <w:tcW w:w="8363" w:type="dxa"/>
          </w:tcPr>
          <w:p w14:paraId="5CA594C5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Posições em risco sobre outros criptoativos expressas em percentagem dos fundos próprios de nível 1 (FP1) das instituições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57492AE6" w14:textId="77777777" w:rsidR="005F103E" w:rsidRPr="00111160" w:rsidRDefault="005F103E" w:rsidP="005F103E">
            <w:pPr>
              <w:pStyle w:val="InstructionsText"/>
              <w:rPr>
                <w:rStyle w:val="InstructionsTabelleberschrift"/>
                <w:b w:val="0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Artigo 501.º-D, n.º 3, do </w:t>
            </w:r>
            <w:r>
              <w:rPr>
                <w:u w:val="none"/>
              </w:rPr>
              <w:t xml:space="preserve">Regulamento (UE) n.º 575/2013.</w:t>
            </w:r>
          </w:p>
        </w:tc>
      </w:tr>
    </w:tbl>
    <w:p w14:paraId="637E7E98" w14:textId="77777777" w:rsidR="005F103E" w:rsidRPr="002A677E" w:rsidRDefault="005F103E" w:rsidP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p w14:paraId="2C3BE3D8" w14:textId="77777777" w:rsidR="005F103E" w:rsidRPr="002A677E" w:rsidRDefault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5F103E" w:rsidRPr="002A677E" w:rsidSect="00570E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65885" w14:textId="71A1082C" w:rsidR="00C3070C" w:rsidRPr="00ED1956" w:rsidRDefault="00C3070C">
    <w:pPr>
      <w:pStyle w:val="Footer"/>
      <w:jc w:val="right"/>
      <w:rPr>
        <w:sz w:val="20"/>
        <w:szCs w:val="20"/>
        <w:rFonts w:ascii="Times New Roman" w:hAnsi="Times New Roman"/>
      </w:rPr>
    </w:pPr>
    <w:r w:rsidRPr="00ED1956">
      <w:rPr>
        <w:sz w:val="20"/>
        <w:rFonts w:ascii="Times New Roman" w:hAnsi="Times New Roman"/>
      </w:rPr>
      <w:fldChar w:fldCharType="begin"/>
    </w:r>
    <w:r w:rsidRPr="00ED1956">
      <w:rPr>
        <w:sz w:val="20"/>
        <w:rFonts w:ascii="Times New Roman" w:hAnsi="Times New Roman"/>
      </w:rPr>
      <w:instrText xml:space="preserve"> PAGE   \* MERGEFORMAT </w:instrText>
    </w:r>
    <w:r w:rsidRPr="00ED1956">
      <w:rPr>
        <w:sz w:val="20"/>
        <w:rFonts w:ascii="Times New Roman" w:hAnsi="Times New Roman"/>
      </w:rPr>
      <w:fldChar w:fldCharType="separate"/>
    </w:r>
    <w:r w:rsidR="008F3052">
      <w:rPr>
        <w:sz w:val="20"/>
        <w:rFonts w:ascii="Times New Roman" w:hAnsi="Times New Roman"/>
      </w:rPr>
      <w:t>42</w:t>
    </w:r>
    <w:r w:rsidRPr="00ED1956">
      <w:rPr>
        <w:sz w:val="20"/>
        <w:rFonts w:ascii="Times New Roman" w:hAnsi="Times New Roman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A98C1" w14:textId="7C971337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Title:  - Description: EBA Regular Us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DBBC0" w14:textId="5C594065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Title:  - Description: EBA Regular Us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Title:  - Description: EBA Regular Us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55CAB4B8"/>
    <w:lvl w:ilvl="0" w:tplc="397E193C">
      <w:start w:val="210"/>
      <w:numFmt w:val="decimal"/>
      <w:pStyle w:val="InstructionsText2"/>
      <w:lvlText w:val="%1."/>
      <w:lvlJc w:val="left"/>
      <w:pPr>
        <w:ind w:left="360" w:hanging="360"/>
      </w:pPr>
      <w:rPr>
        <w:rFonts w:cs="Times New Roman" w:hint="default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 w:numId="123" w16cid:durableId="2110928480">
    <w:abstractNumId w:val="25"/>
  </w:num>
  <w:num w:numId="124" w16cid:durableId="980695275">
    <w:abstractNumId w:val="2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6C7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AF7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27E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6628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753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0E0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B75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1E3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4C4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C76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3E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6F7CA4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708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E7BE1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46F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6B6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E1F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1F25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BE3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1A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3400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4FBC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187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085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pt-PT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val="pt-PT"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val="pt-PT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pt-PT"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pt-PT"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val="pt-PT"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pt-PT"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val="pt-PT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pt-PT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pt-PT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pt-PT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pt-PT"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pt-PT"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pt-PT"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val="pt-PT"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val="pt-PT"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val="pt-PT"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pt-PT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val="pt-PT"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pt-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pt-PT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pt-PT"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5F103E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val="pt-PT"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pt-PT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5F103E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pt-PT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24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pt-PT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pt-PT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val="pt-PT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pt-PT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pt-PT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pt-PT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pt-PT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val="pt-PT"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val="pt-PT"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val="pt-PT"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val="pt-PT"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pt-PT"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val="pt-PT"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val="pt-PT"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val="pt-PT"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pt-PT"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val="pt-PT"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val="pt-PT"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val="pt-PT"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val="pt-PT"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val="pt-PT"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val="pt-PT"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val="pt-PT"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pt-PT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pt-PT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val="pt-PT"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pt-PT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pt-PT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pt-PT"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pt-PT"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pt-PT"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pt-PT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val="pt-PT"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pt-PT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val="pt-PT"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F870A7-C400-487D-9E93-2B637CFBF31B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0C8F0EED-91CD-4A17-8D64-34D6CCA443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039C1B-CBC7-4353-86AF-7FF342165822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2024-06-19T18:04:00Z</dcterms:created>
  <dcterms:modified xsi:type="dcterms:W3CDTF">2024-06-21T12:22:00Z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